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752C128E" wp14:editId="36D0B790">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DB37E3">
              <w:t>04.10.2017</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DB37E3">
            <w:pPr>
              <w:tabs>
                <w:tab w:val="left" w:pos="3123"/>
                <w:tab w:val="left" w:pos="3270"/>
              </w:tabs>
              <w:jc w:val="right"/>
            </w:pPr>
            <w:r w:rsidRPr="00360CF1">
              <w:t xml:space="preserve">№ </w:t>
            </w:r>
            <w:r w:rsidR="00DB37E3">
              <w:t>2023</w:t>
            </w:r>
            <w:r w:rsidRPr="00360CF1">
              <w:t xml:space="preserve">          </w:t>
            </w:r>
          </w:p>
        </w:tc>
      </w:tr>
    </w:tbl>
    <w:p w:rsidR="00352F59" w:rsidRPr="00B33F83" w:rsidRDefault="00352F59" w:rsidP="00B33F83">
      <w:pPr>
        <w:tabs>
          <w:tab w:val="left" w:pos="851"/>
        </w:tabs>
        <w:ind w:firstLine="709"/>
        <w:jc w:val="both"/>
        <w:outlineLvl w:val="0"/>
        <w:rPr>
          <w:bCs/>
        </w:rPr>
      </w:pPr>
    </w:p>
    <w:p w:rsidR="00B33F83" w:rsidRDefault="00B33F83" w:rsidP="00B33F83">
      <w:pPr>
        <w:jc w:val="both"/>
        <w:outlineLvl w:val="0"/>
        <w:rPr>
          <w:bCs/>
          <w:kern w:val="36"/>
        </w:rPr>
      </w:pPr>
    </w:p>
    <w:p w:rsidR="00B33F83" w:rsidRPr="00B33F83" w:rsidRDefault="00B33F83" w:rsidP="00B33F83">
      <w:pPr>
        <w:ind w:right="5669"/>
        <w:jc w:val="both"/>
        <w:outlineLvl w:val="0"/>
        <w:rPr>
          <w:bCs/>
          <w:kern w:val="36"/>
        </w:rPr>
      </w:pPr>
      <w:r w:rsidRPr="00B33F83">
        <w:rPr>
          <w:bCs/>
          <w:kern w:val="36"/>
        </w:rPr>
        <w:t>Об утверждении Порядка выдачи разрешения на установку некапитальных нестационарных сооружений, произведений монументально-декоративного искусства на межселенной территории Нижневартовского района</w:t>
      </w:r>
    </w:p>
    <w:p w:rsidR="00B33F83" w:rsidRDefault="00B33F83" w:rsidP="00B33F83">
      <w:pPr>
        <w:ind w:firstLine="709"/>
        <w:jc w:val="both"/>
        <w:outlineLvl w:val="0"/>
        <w:rPr>
          <w:bCs/>
          <w:kern w:val="36"/>
        </w:rPr>
      </w:pPr>
    </w:p>
    <w:p w:rsidR="00B33F83" w:rsidRPr="00B33F83" w:rsidRDefault="00B33F83" w:rsidP="00B33F83">
      <w:pPr>
        <w:ind w:firstLine="709"/>
        <w:jc w:val="both"/>
        <w:outlineLvl w:val="0"/>
        <w:rPr>
          <w:bCs/>
          <w:kern w:val="36"/>
        </w:rPr>
      </w:pPr>
    </w:p>
    <w:p w:rsidR="00B33F83" w:rsidRPr="00B33F83" w:rsidRDefault="00B33F83" w:rsidP="00B33F83">
      <w:pPr>
        <w:ind w:firstLine="709"/>
        <w:jc w:val="both"/>
      </w:pPr>
      <w:r w:rsidRPr="00B33F83">
        <w:t xml:space="preserve">В соответствии с пунктом 5 части 17 статьи 51 Градостроительного кодекса Российской Федерации, подпунктом 18 пункта 1 статьи 3 Закона Ханты-Мансийского автономного округа </w:t>
      </w:r>
      <w:r>
        <w:t>−</w:t>
      </w:r>
      <w:r w:rsidRPr="00B33F83">
        <w:t xml:space="preserve"> Югры от 18.04.2007 </w:t>
      </w:r>
      <w:r>
        <w:t>№</w:t>
      </w:r>
      <w:r w:rsidRPr="00B33F83">
        <w:t xml:space="preserve"> 39-оз             «О градостроительной деятельности на территории Ханты-Мансийского автономного округа – Югры», постановлением Правительства Ханты-Мансийского автономного округа </w:t>
      </w:r>
      <w:r>
        <w:t>−</w:t>
      </w:r>
      <w:r w:rsidRPr="00B33F83">
        <w:t xml:space="preserve"> Югры от 11.07.2014 </w:t>
      </w:r>
      <w:r>
        <w:t>№</w:t>
      </w:r>
      <w:r w:rsidRPr="00B33F83">
        <w:t xml:space="preserve"> 257-п </w:t>
      </w:r>
      <w:r>
        <w:t xml:space="preserve">                             </w:t>
      </w:r>
      <w:r w:rsidRPr="00B33F83">
        <w:t>«Об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w:t>
      </w:r>
    </w:p>
    <w:p w:rsidR="00B33F83" w:rsidRPr="00B33F83" w:rsidRDefault="00B33F83" w:rsidP="00B33F83">
      <w:pPr>
        <w:ind w:firstLine="709"/>
        <w:jc w:val="both"/>
      </w:pPr>
    </w:p>
    <w:p w:rsidR="00B33F83" w:rsidRPr="00B33F83" w:rsidRDefault="00B33F83" w:rsidP="00B33F83">
      <w:pPr>
        <w:ind w:firstLine="709"/>
        <w:jc w:val="both"/>
      </w:pPr>
      <w:r w:rsidRPr="00B33F83">
        <w:t xml:space="preserve">1. Утвердить Порядок </w:t>
      </w:r>
      <w:r w:rsidRPr="00B33F83">
        <w:rPr>
          <w:bCs/>
          <w:kern w:val="36"/>
        </w:rPr>
        <w:t>выдачи разрешения на установку некапитальных нестационарных сооружений, произведений монументально-декоративного искусства на межселенной территории Нижневартовского района</w:t>
      </w:r>
      <w:r w:rsidRPr="00B33F83">
        <w:t xml:space="preserve"> согласно приложению.</w:t>
      </w:r>
    </w:p>
    <w:p w:rsidR="00B33F83" w:rsidRDefault="00B33F83" w:rsidP="00B33F83">
      <w:pPr>
        <w:ind w:firstLine="709"/>
        <w:jc w:val="both"/>
      </w:pPr>
    </w:p>
    <w:p w:rsidR="007F53C1" w:rsidRPr="00B33F83" w:rsidRDefault="007F53C1" w:rsidP="007F53C1">
      <w:pPr>
        <w:autoSpaceDE w:val="0"/>
        <w:autoSpaceDN w:val="0"/>
        <w:adjustRightInd w:val="0"/>
        <w:ind w:firstLine="709"/>
        <w:jc w:val="both"/>
        <w:rPr>
          <w:rFonts w:eastAsia="Calibri"/>
          <w:color w:val="000000"/>
          <w:lang w:eastAsia="en-US"/>
        </w:rPr>
      </w:pPr>
      <w:r>
        <w:rPr>
          <w:rFonts w:eastAsia="Calibri"/>
          <w:color w:val="000000"/>
          <w:lang w:eastAsia="en-US"/>
        </w:rPr>
        <w:t>2</w:t>
      </w:r>
      <w:r w:rsidRPr="00B33F83">
        <w:rPr>
          <w:rFonts w:eastAsia="Calibri"/>
          <w:color w:val="000000"/>
          <w:lang w:eastAsia="en-US"/>
        </w:rPr>
        <w:t>. Службе документационного обеспечения управления организации деятельности администрации района (Ю.В</w:t>
      </w:r>
      <w:r>
        <w:rPr>
          <w:rFonts w:eastAsia="Calibri"/>
          <w:color w:val="000000"/>
          <w:lang w:eastAsia="en-US"/>
        </w:rPr>
        <w:t>.</w:t>
      </w:r>
      <w:r w:rsidRPr="00B33F83">
        <w:rPr>
          <w:rFonts w:eastAsia="Calibri"/>
          <w:color w:val="000000"/>
          <w:lang w:eastAsia="en-US"/>
        </w:rPr>
        <w:t xml:space="preserve"> Мороз) разместить постановление на официальном веб-сайте администрации района: www.nvraion.ru в течение трех дней со дня принятия решения. </w:t>
      </w:r>
    </w:p>
    <w:p w:rsidR="007F53C1" w:rsidRDefault="007F53C1" w:rsidP="00B33F83">
      <w:pPr>
        <w:ind w:firstLine="709"/>
        <w:jc w:val="both"/>
      </w:pPr>
    </w:p>
    <w:p w:rsidR="007F53C1" w:rsidRPr="00B33F83" w:rsidRDefault="007F53C1" w:rsidP="00B33F83">
      <w:pPr>
        <w:ind w:firstLine="709"/>
        <w:jc w:val="both"/>
      </w:pPr>
    </w:p>
    <w:p w:rsidR="00B33F83" w:rsidRPr="00A0026E" w:rsidRDefault="007F53C1" w:rsidP="00B33F83">
      <w:pPr>
        <w:ind w:firstLine="708"/>
        <w:jc w:val="both"/>
      </w:pPr>
      <w:r>
        <w:lastRenderedPageBreak/>
        <w:t>3</w:t>
      </w:r>
      <w:r w:rsidR="00B33F83" w:rsidRPr="00B33F83">
        <w:t xml:space="preserve">. </w:t>
      </w:r>
      <w:r w:rsidR="00B33F83" w:rsidRPr="00A0026E">
        <w:t>Пресс-службе администрации района (А.В. Мартынова) опубликовать постановление в приложении «Официальный бюллетень» к газете «Новости Приобья».</w:t>
      </w:r>
    </w:p>
    <w:p w:rsidR="00B33F83" w:rsidRDefault="00B33F83" w:rsidP="00B33F83">
      <w:pPr>
        <w:ind w:firstLine="709"/>
        <w:jc w:val="both"/>
        <w:rPr>
          <w:rFonts w:eastAsia="Calibri"/>
          <w:color w:val="000000"/>
          <w:lang w:eastAsia="en-US"/>
        </w:rPr>
      </w:pPr>
    </w:p>
    <w:p w:rsidR="00B33F83" w:rsidRPr="00A0026E" w:rsidRDefault="00B33F83" w:rsidP="00B33F83">
      <w:pPr>
        <w:ind w:firstLine="708"/>
        <w:jc w:val="both"/>
      </w:pPr>
      <w:r w:rsidRPr="00A0026E">
        <w:t>4. Постановление вступает в силу после его официального опубликования (обнародования).</w:t>
      </w:r>
    </w:p>
    <w:p w:rsidR="00B33F83" w:rsidRPr="00B33F83" w:rsidRDefault="00B33F83" w:rsidP="00B33F83">
      <w:pPr>
        <w:ind w:firstLine="709"/>
        <w:jc w:val="both"/>
      </w:pPr>
    </w:p>
    <w:p w:rsidR="00B33F83" w:rsidRPr="00B33F83" w:rsidRDefault="00B33F83" w:rsidP="00B33F83">
      <w:pPr>
        <w:ind w:firstLine="709"/>
        <w:jc w:val="both"/>
        <w:rPr>
          <w:rFonts w:eastAsia="Calibri"/>
          <w:lang w:eastAsia="en-US"/>
        </w:rPr>
      </w:pPr>
      <w:r w:rsidRPr="00B33F83">
        <w:rPr>
          <w:rFonts w:eastAsia="Calibri"/>
          <w:lang w:eastAsia="en-US"/>
        </w:rPr>
        <w:t xml:space="preserve">5. Контроль за выполнением постановления возложить на заместителя главы района по жилищно-коммунальному хозяйству и строительству           В.С. Фенского. </w:t>
      </w:r>
    </w:p>
    <w:p w:rsidR="00B33F83" w:rsidRPr="00B33F83" w:rsidRDefault="00B33F83" w:rsidP="00B33F83">
      <w:pPr>
        <w:tabs>
          <w:tab w:val="left" w:pos="720"/>
        </w:tabs>
        <w:ind w:firstLine="709"/>
        <w:jc w:val="both"/>
        <w:rPr>
          <w:bCs/>
        </w:rPr>
      </w:pPr>
    </w:p>
    <w:p w:rsidR="00B33F83" w:rsidRPr="00B33F83" w:rsidRDefault="00B33F83" w:rsidP="00B33F83">
      <w:pPr>
        <w:ind w:firstLine="709"/>
        <w:jc w:val="both"/>
      </w:pPr>
    </w:p>
    <w:p w:rsidR="00B33F83" w:rsidRPr="00B33F83" w:rsidRDefault="00B33F83" w:rsidP="00B33F83">
      <w:pPr>
        <w:ind w:firstLine="709"/>
        <w:jc w:val="both"/>
      </w:pPr>
    </w:p>
    <w:p w:rsidR="00B33F83" w:rsidRDefault="00B33F83" w:rsidP="00B33F83">
      <w:pPr>
        <w:tabs>
          <w:tab w:val="left" w:pos="0"/>
        </w:tabs>
        <w:jc w:val="both"/>
        <w:rPr>
          <w:szCs w:val="24"/>
        </w:rPr>
      </w:pPr>
      <w:r w:rsidRPr="00B33F83">
        <w:t xml:space="preserve">Глава района                                                                                        </w:t>
      </w:r>
      <w:r>
        <w:rPr>
          <w:szCs w:val="24"/>
        </w:rPr>
        <w:t>Б.А. Саломатин</w:t>
      </w:r>
    </w:p>
    <w:p w:rsidR="00B33F83" w:rsidRDefault="00B33F83" w:rsidP="00ED7534">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9E38F7" w:rsidRDefault="009E38F7" w:rsidP="00B33F83">
      <w:pPr>
        <w:tabs>
          <w:tab w:val="left" w:pos="720"/>
        </w:tabs>
        <w:ind w:right="46" w:firstLine="5812"/>
        <w:jc w:val="both"/>
        <w:rPr>
          <w:bCs/>
        </w:rPr>
      </w:pPr>
    </w:p>
    <w:p w:rsidR="00B33F83" w:rsidRDefault="00B33F83" w:rsidP="00B33F83">
      <w:pPr>
        <w:tabs>
          <w:tab w:val="left" w:pos="720"/>
        </w:tabs>
        <w:ind w:right="46" w:firstLine="5812"/>
        <w:jc w:val="both"/>
        <w:rPr>
          <w:bCs/>
        </w:rPr>
      </w:pPr>
    </w:p>
    <w:p w:rsidR="00B33F83" w:rsidRDefault="00B33F83" w:rsidP="00B33F83">
      <w:pPr>
        <w:tabs>
          <w:tab w:val="left" w:pos="720"/>
        </w:tabs>
        <w:ind w:right="46" w:firstLine="5812"/>
        <w:jc w:val="both"/>
        <w:rPr>
          <w:bCs/>
        </w:rPr>
      </w:pPr>
      <w:r>
        <w:rPr>
          <w:bCs/>
        </w:rPr>
        <w:t xml:space="preserve">Приложение к постановлению </w:t>
      </w:r>
    </w:p>
    <w:p w:rsidR="00B33F83" w:rsidRDefault="00B33F83" w:rsidP="00B33F83">
      <w:pPr>
        <w:tabs>
          <w:tab w:val="left" w:pos="720"/>
        </w:tabs>
        <w:ind w:right="46" w:firstLine="5812"/>
        <w:jc w:val="both"/>
        <w:rPr>
          <w:bCs/>
        </w:rPr>
      </w:pPr>
      <w:r>
        <w:rPr>
          <w:bCs/>
        </w:rPr>
        <w:t xml:space="preserve">администрации района </w:t>
      </w:r>
    </w:p>
    <w:p w:rsidR="00B33F83" w:rsidRDefault="00B33F83" w:rsidP="00B33F83">
      <w:pPr>
        <w:tabs>
          <w:tab w:val="left" w:pos="720"/>
        </w:tabs>
        <w:ind w:right="46" w:firstLine="5812"/>
        <w:jc w:val="both"/>
        <w:rPr>
          <w:bCs/>
        </w:rPr>
      </w:pPr>
      <w:r>
        <w:rPr>
          <w:bCs/>
        </w:rPr>
        <w:t xml:space="preserve">от </w:t>
      </w:r>
      <w:r w:rsidR="00DB37E3">
        <w:rPr>
          <w:bCs/>
        </w:rPr>
        <w:t>04.10.2017</w:t>
      </w:r>
      <w:r>
        <w:rPr>
          <w:bCs/>
        </w:rPr>
        <w:t xml:space="preserve"> № </w:t>
      </w:r>
      <w:r w:rsidR="00DB37E3">
        <w:rPr>
          <w:bCs/>
        </w:rPr>
        <w:t>2023</w:t>
      </w:r>
      <w:bookmarkStart w:id="0" w:name="_GoBack"/>
      <w:bookmarkEnd w:id="0"/>
    </w:p>
    <w:p w:rsidR="00B33F83" w:rsidRPr="00B33F83" w:rsidRDefault="00B33F83" w:rsidP="00B33F83">
      <w:pPr>
        <w:jc w:val="center"/>
      </w:pPr>
    </w:p>
    <w:p w:rsidR="00B33F83" w:rsidRPr="00B33F83" w:rsidRDefault="00B33F83" w:rsidP="00B33F83">
      <w:pPr>
        <w:jc w:val="center"/>
      </w:pPr>
    </w:p>
    <w:p w:rsidR="00B33F83" w:rsidRPr="00B33F83" w:rsidRDefault="00B33F83" w:rsidP="00B33F83">
      <w:pPr>
        <w:jc w:val="center"/>
        <w:rPr>
          <w:b/>
          <w:bCs/>
          <w:kern w:val="36"/>
        </w:rPr>
      </w:pPr>
      <w:r w:rsidRPr="00B33F83">
        <w:rPr>
          <w:b/>
        </w:rPr>
        <w:t>Порядок</w:t>
      </w:r>
      <w:r w:rsidRPr="00B33F83">
        <w:rPr>
          <w:b/>
          <w:bCs/>
          <w:kern w:val="36"/>
        </w:rPr>
        <w:t xml:space="preserve"> выдачи разрешения на установку </w:t>
      </w:r>
    </w:p>
    <w:p w:rsidR="00B33F83" w:rsidRPr="00B33F83" w:rsidRDefault="00B33F83" w:rsidP="00B33F83">
      <w:pPr>
        <w:jc w:val="center"/>
        <w:rPr>
          <w:b/>
        </w:rPr>
      </w:pPr>
      <w:r w:rsidRPr="00B33F83">
        <w:rPr>
          <w:b/>
          <w:bCs/>
          <w:kern w:val="36"/>
        </w:rPr>
        <w:t>некапитальных нестационарных сооружений, произведений монументально-декоративного искусства на межселенной территории Нижневартовского района</w:t>
      </w:r>
    </w:p>
    <w:p w:rsidR="00B33F83" w:rsidRDefault="00B33F83" w:rsidP="00B33F83">
      <w:pPr>
        <w:ind w:firstLine="709"/>
        <w:jc w:val="both"/>
      </w:pPr>
    </w:p>
    <w:p w:rsidR="00B33F83" w:rsidRPr="00B33F83" w:rsidRDefault="00B33F83" w:rsidP="00B33F83">
      <w:pPr>
        <w:ind w:firstLine="709"/>
        <w:jc w:val="both"/>
      </w:pPr>
      <w:r w:rsidRPr="00B33F83">
        <w:t xml:space="preserve">1. Порядок выдачи разрешения на установку некапитальных нестационарных сооружений, произведений монументально-декоративного искусства на межселенной территории Нижневартовского района (далее </w:t>
      </w:r>
      <w:r w:rsidR="00ED7534">
        <w:t>−</w:t>
      </w:r>
      <w:r w:rsidRPr="00B33F83">
        <w:t xml:space="preserve"> Порядок) определяет порядок выдачи либо отказа в выдаче разрешения</w:t>
      </w:r>
      <w:r w:rsidR="00ED7534">
        <w:t xml:space="preserve">                    </w:t>
      </w:r>
      <w:r w:rsidRPr="00B33F83">
        <w:t xml:space="preserve"> на установку некапитальных нестационарных сооружений, произведений монументально-декоративного искусства</w:t>
      </w:r>
      <w:r w:rsidRPr="00B33F83">
        <w:rPr>
          <w:b/>
          <w:bCs/>
          <w:kern w:val="36"/>
        </w:rPr>
        <w:t xml:space="preserve"> </w:t>
      </w:r>
      <w:r w:rsidRPr="00B33F83">
        <w:rPr>
          <w:bCs/>
          <w:kern w:val="36"/>
        </w:rPr>
        <w:t>на межселенной территории Нижневартовского района</w:t>
      </w:r>
      <w:r w:rsidRPr="00B33F83">
        <w:t xml:space="preserve">. </w:t>
      </w:r>
    </w:p>
    <w:p w:rsidR="00B33F83" w:rsidRPr="00B33F83" w:rsidRDefault="00B33F83" w:rsidP="00B33F83">
      <w:pPr>
        <w:autoSpaceDE w:val="0"/>
        <w:autoSpaceDN w:val="0"/>
        <w:adjustRightInd w:val="0"/>
        <w:ind w:firstLine="709"/>
        <w:jc w:val="both"/>
        <w:outlineLvl w:val="1"/>
        <w:rPr>
          <w:rFonts w:eastAsia="Calibri"/>
          <w:b/>
          <w:lang w:eastAsia="en-US"/>
        </w:rPr>
      </w:pPr>
      <w:r w:rsidRPr="00B33F83">
        <w:t xml:space="preserve">2. Порядок распространяется на объекты </w:t>
      </w:r>
      <w:r w:rsidRPr="00B33F83">
        <w:rPr>
          <w:rFonts w:eastAsia="Calibri"/>
          <w:lang w:eastAsia="en-US"/>
        </w:rPr>
        <w:t xml:space="preserve">благоустройства территориальных зон общественно-делового, жилого, рекреационного, производственного назначения </w:t>
      </w:r>
      <w:r w:rsidRPr="00B33F83">
        <w:t xml:space="preserve">в соответствии с подпунктом 6 пункта 1 «Перечня случаев, при которых не требуется получение разрешения </w:t>
      </w:r>
      <w:r w:rsidR="00ED7534">
        <w:t xml:space="preserve">                                              </w:t>
      </w:r>
      <w:r w:rsidRPr="00B33F83">
        <w:t xml:space="preserve">на строительство на территории Ханты-Мансийского автономного округа – Югры», установленным постановлением Правительства Ханты-Мансийского автономного округа </w:t>
      </w:r>
      <w:r w:rsidR="00ED7534">
        <w:t>−</w:t>
      </w:r>
      <w:r w:rsidRPr="00B33F83">
        <w:t xml:space="preserve"> Югры от 11.07.2014 </w:t>
      </w:r>
      <w:r w:rsidR="00ED7534">
        <w:t>№</w:t>
      </w:r>
      <w:r w:rsidRPr="00B33F83">
        <w:t xml:space="preserve"> 257-п.</w:t>
      </w:r>
    </w:p>
    <w:p w:rsidR="00B33F83" w:rsidRPr="00B33F83" w:rsidRDefault="00B33F83" w:rsidP="00B33F83">
      <w:pPr>
        <w:autoSpaceDE w:val="0"/>
        <w:autoSpaceDN w:val="0"/>
        <w:adjustRightInd w:val="0"/>
        <w:ind w:firstLine="709"/>
        <w:jc w:val="both"/>
        <w:outlineLvl w:val="1"/>
      </w:pPr>
      <w:r w:rsidRPr="00B33F83">
        <w:t xml:space="preserve">3. Установка нестационарных торговых объектов осуществляется </w:t>
      </w:r>
      <w:r w:rsidR="00ED7534">
        <w:t xml:space="preserve">                        </w:t>
      </w:r>
      <w:r w:rsidRPr="00B33F83">
        <w:t>в соответствии с утвержденной схемой размещения нестационарных торговых объектов на межселенной территории района.</w:t>
      </w:r>
    </w:p>
    <w:p w:rsidR="00B33F83" w:rsidRPr="00B33F83" w:rsidRDefault="00B33F83" w:rsidP="00B33F83">
      <w:pPr>
        <w:ind w:firstLine="709"/>
        <w:jc w:val="both"/>
      </w:pPr>
      <w:r w:rsidRPr="00B33F83">
        <w:t>4. Для объектов благоустройства, которые входят в п</w:t>
      </w:r>
      <w:r w:rsidRPr="00B33F83">
        <w:rPr>
          <w:rFonts w:eastAsia="Calibri"/>
          <w:lang w:eastAsia="en-US"/>
        </w:rPr>
        <w:t xml:space="preserve">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B33F83">
        <w:t xml:space="preserve">утвержденный постановлением Правительства Российской Федерации </w:t>
      </w:r>
      <w:r w:rsidR="00ED7534">
        <w:t xml:space="preserve">                        </w:t>
      </w:r>
      <w:r w:rsidRPr="00B33F83">
        <w:t>от 03.12.2014 № 1300, порядок и условия размещения установлены постановлением Правительства Ханты-Мансийского автономного округа</w:t>
      </w:r>
      <w:r w:rsidR="00ED7534">
        <w:t xml:space="preserve"> − </w:t>
      </w:r>
      <w:r w:rsidRPr="00B33F83">
        <w:t>Югры от 19.06.2015 № 174-п.</w:t>
      </w:r>
    </w:p>
    <w:p w:rsidR="00B33F83" w:rsidRPr="00B33F83" w:rsidRDefault="00B33F83" w:rsidP="00B33F83">
      <w:pPr>
        <w:ind w:firstLine="709"/>
        <w:jc w:val="both"/>
      </w:pPr>
      <w:r w:rsidRPr="00B33F83">
        <w:t>5. Разрешение на установку некапитальных нестационарных сооружений, произведений монументально-декоративного искусства выдается по заявлению в администраци</w:t>
      </w:r>
      <w:r w:rsidR="00ED7534">
        <w:t>и</w:t>
      </w:r>
      <w:r w:rsidRPr="00B33F83">
        <w:t xml:space="preserve"> района. </w:t>
      </w:r>
    </w:p>
    <w:p w:rsidR="00B33F83" w:rsidRPr="00B33F83" w:rsidRDefault="00B33F83" w:rsidP="00B33F83">
      <w:pPr>
        <w:ind w:firstLine="709"/>
        <w:jc w:val="both"/>
      </w:pPr>
      <w:r w:rsidRPr="00B33F83">
        <w:t xml:space="preserve">6. Уполномоченным структурным подразделением администрации района, осуществляющим подготовку и выдачу разрешения на установку некапитальных нестационарных сооружений, произведений монументально-декоративного искусства, является управление архитектуры </w:t>
      </w:r>
      <w:r w:rsidR="00ED7534">
        <w:t xml:space="preserve">                                         </w:t>
      </w:r>
      <w:r w:rsidRPr="00B33F83">
        <w:t xml:space="preserve">и градостроительства администрации района (далее </w:t>
      </w:r>
      <w:r w:rsidR="00ED7534">
        <w:t>−</w:t>
      </w:r>
      <w:r w:rsidRPr="00B33F83">
        <w:t xml:space="preserve"> уполномоченный орган).</w:t>
      </w:r>
    </w:p>
    <w:p w:rsidR="00ED7534" w:rsidRDefault="00ED7534" w:rsidP="00B33F83">
      <w:pPr>
        <w:ind w:firstLine="709"/>
        <w:jc w:val="both"/>
      </w:pPr>
    </w:p>
    <w:p w:rsidR="00B33F83" w:rsidRPr="00B33F83" w:rsidRDefault="00B33F83" w:rsidP="00B33F83">
      <w:pPr>
        <w:ind w:firstLine="709"/>
        <w:jc w:val="both"/>
      </w:pPr>
      <w:r w:rsidRPr="00B33F83">
        <w:t>7. Заявителями являются физические и юридические лица, заинтересованные в установке некапитальных нестационарных сооружений, произведений монументально-декоративного искусства либо их законные представители.</w:t>
      </w:r>
    </w:p>
    <w:p w:rsidR="00B33F83" w:rsidRPr="00B33F83" w:rsidRDefault="00B33F83" w:rsidP="00B33F83">
      <w:pPr>
        <w:ind w:firstLine="709"/>
        <w:jc w:val="both"/>
      </w:pPr>
      <w:r w:rsidRPr="00B33F83">
        <w:t>8. Для принятия решения о выдаче разрешения на установку некапитальных нестационарных сооружений, произведений монументально-декоративного искусства необходимы следующие документы:</w:t>
      </w:r>
    </w:p>
    <w:p w:rsidR="00B33F83" w:rsidRPr="00B33F83" w:rsidRDefault="00B33F83" w:rsidP="00B33F83">
      <w:pPr>
        <w:ind w:firstLine="709"/>
        <w:jc w:val="both"/>
        <w:rPr>
          <w:rFonts w:eastAsia="Calibri"/>
          <w:lang w:eastAsia="en-US"/>
        </w:rPr>
      </w:pPr>
      <w:r w:rsidRPr="00B33F83">
        <w:rPr>
          <w:rFonts w:eastAsia="Calibri"/>
          <w:lang w:eastAsia="en-US"/>
        </w:rPr>
        <w:t>1) данные о заявителе (государственная регистрация юридического лица или государственная регистрация физического лица в качестве индивидуального предпринимателя);</w:t>
      </w:r>
    </w:p>
    <w:p w:rsidR="00B33F83" w:rsidRPr="00B33F83" w:rsidRDefault="00B33F83" w:rsidP="00B33F83">
      <w:pPr>
        <w:widowControl w:val="0"/>
        <w:tabs>
          <w:tab w:val="left" w:pos="0"/>
          <w:tab w:val="left" w:pos="10080"/>
        </w:tabs>
        <w:ind w:firstLine="709"/>
        <w:contextualSpacing/>
        <w:jc w:val="both"/>
        <w:rPr>
          <w:lang w:eastAsia="en-US"/>
        </w:rPr>
      </w:pPr>
      <w:r w:rsidRPr="00B33F83">
        <w:rPr>
          <w:lang w:eastAsia="en-US"/>
        </w:rPr>
        <w:t xml:space="preserve">2) данные о заявителе </w:t>
      </w:r>
      <w:r w:rsidR="00ED7534">
        <w:rPr>
          <w:lang w:eastAsia="en-US"/>
        </w:rPr>
        <w:t>−</w:t>
      </w:r>
      <w:r w:rsidRPr="00B33F83">
        <w:rPr>
          <w:lang w:eastAsia="en-US"/>
        </w:rPr>
        <w:t xml:space="preserve"> физическом лице (документ, удостоверяющий личность);</w:t>
      </w:r>
    </w:p>
    <w:p w:rsidR="00B33F83" w:rsidRPr="00B33F83" w:rsidRDefault="00B33F83" w:rsidP="00B33F83">
      <w:pPr>
        <w:tabs>
          <w:tab w:val="left" w:pos="993"/>
        </w:tabs>
        <w:autoSpaceDE w:val="0"/>
        <w:autoSpaceDN w:val="0"/>
        <w:adjustRightInd w:val="0"/>
        <w:ind w:firstLine="709"/>
        <w:jc w:val="both"/>
        <w:outlineLvl w:val="1"/>
        <w:rPr>
          <w:rFonts w:eastAsia="Calibri"/>
          <w:lang w:eastAsia="en-US"/>
        </w:rPr>
      </w:pPr>
      <w:r w:rsidRPr="00B33F83">
        <w:rPr>
          <w:rFonts w:eastAsia="Calibri"/>
          <w:lang w:eastAsia="en-US"/>
        </w:rPr>
        <w:t>3)</w:t>
      </w:r>
      <w:r w:rsidRPr="00B33F83">
        <w:rPr>
          <w:rFonts w:eastAsia="Calibri"/>
          <w:sz w:val="24"/>
          <w:szCs w:val="24"/>
          <w:lang w:eastAsia="en-US"/>
        </w:rPr>
        <w:t xml:space="preserve"> </w:t>
      </w:r>
      <w:r w:rsidRPr="00B33F83">
        <w:rPr>
          <w:rFonts w:eastAsia="Calibri"/>
          <w:lang w:eastAsia="en-US"/>
        </w:rPr>
        <w:t xml:space="preserve">документ, подтверждающий полномочия представителя заявителя </w:t>
      </w:r>
      <w:r w:rsidR="00ED7534">
        <w:rPr>
          <w:rFonts w:eastAsia="Calibri"/>
          <w:lang w:eastAsia="en-US"/>
        </w:rPr>
        <w:t xml:space="preserve">                  </w:t>
      </w:r>
      <w:r w:rsidRPr="00B33F83">
        <w:rPr>
          <w:rFonts w:eastAsia="Calibri"/>
          <w:lang w:eastAsia="en-US"/>
        </w:rPr>
        <w:t>(в случае, если от имени заявителя обращается представитель заявителя);</w:t>
      </w:r>
    </w:p>
    <w:p w:rsidR="00B33F83" w:rsidRPr="00B33F83" w:rsidRDefault="00B33F83" w:rsidP="00B33F83">
      <w:pPr>
        <w:suppressAutoHyphens/>
        <w:ind w:firstLine="709"/>
        <w:jc w:val="both"/>
        <w:rPr>
          <w:highlight w:val="yellow"/>
          <w:lang w:eastAsia="ar-SA"/>
        </w:rPr>
      </w:pPr>
      <w:r w:rsidRPr="00B33F83">
        <w:rPr>
          <w:lang w:eastAsia="ar-SA"/>
        </w:rPr>
        <w:t>4) правоустанавливающие документы или документы, подтверждающие право на использование земель или земельных участков, на которых планируется установка</w:t>
      </w:r>
      <w:r w:rsidRPr="00B33F83">
        <w:t xml:space="preserve"> некапитальных нестационарных сооружений, произведений монументально-декоративного искусства:</w:t>
      </w:r>
    </w:p>
    <w:p w:rsidR="00B33F83" w:rsidRPr="00B33F83" w:rsidRDefault="00B33F83" w:rsidP="00B33F83">
      <w:pPr>
        <w:suppressAutoHyphens/>
        <w:ind w:firstLine="709"/>
        <w:jc w:val="both"/>
        <w:rPr>
          <w:color w:val="FF0000"/>
          <w:lang w:eastAsia="ar-SA"/>
        </w:rPr>
      </w:pPr>
      <w:r w:rsidRPr="00B33F83">
        <w:rPr>
          <w:lang w:eastAsia="ar-SA"/>
        </w:rPr>
        <w:t xml:space="preserve">сведения из Единого государственного реестра недвижимости и сделок </w:t>
      </w:r>
      <w:r w:rsidR="00ED7534">
        <w:rPr>
          <w:lang w:eastAsia="ar-SA"/>
        </w:rPr>
        <w:t xml:space="preserve">                </w:t>
      </w:r>
      <w:r w:rsidRPr="00B33F83">
        <w:rPr>
          <w:lang w:eastAsia="ar-SA"/>
        </w:rPr>
        <w:t>с ним, если заявитель является собственником или иным законным владельцем земельного участка (другого недвижимого имущества);</w:t>
      </w:r>
    </w:p>
    <w:p w:rsidR="00B33F83" w:rsidRPr="00B33F83" w:rsidRDefault="00B33F83" w:rsidP="00B33F83">
      <w:pPr>
        <w:suppressAutoHyphens/>
        <w:ind w:firstLine="709"/>
        <w:jc w:val="both"/>
        <w:rPr>
          <w:lang w:eastAsia="ar-SA"/>
        </w:rPr>
      </w:pPr>
      <w:r w:rsidRPr="00B33F83">
        <w:rPr>
          <w:lang w:eastAsia="ar-SA"/>
        </w:rPr>
        <w:t xml:space="preserve">подтверждение в письменной форме согласия собственника или иного законного владельца земельного участка (другого недвижимого имущества) </w:t>
      </w:r>
      <w:r w:rsidR="00ED7534">
        <w:rPr>
          <w:lang w:eastAsia="ar-SA"/>
        </w:rPr>
        <w:t xml:space="preserve">            </w:t>
      </w:r>
      <w:r w:rsidRPr="00B33F83">
        <w:rPr>
          <w:lang w:eastAsia="ar-SA"/>
        </w:rPr>
        <w:t>на установку некапитального нестационарного сооружения, произведения монументально-декоративного искусства, если заявитель не является его  собственником или иным законным владельцем;</w:t>
      </w:r>
    </w:p>
    <w:p w:rsidR="00B33F83" w:rsidRPr="00B33F83" w:rsidRDefault="00B33F83" w:rsidP="00B33F83">
      <w:pPr>
        <w:suppressAutoHyphens/>
        <w:ind w:firstLine="709"/>
        <w:jc w:val="both"/>
        <w:rPr>
          <w:lang w:eastAsia="ar-SA"/>
        </w:rPr>
      </w:pPr>
      <w:r w:rsidRPr="00B33F83">
        <w:rPr>
          <w:lang w:eastAsia="ar-SA"/>
        </w:rPr>
        <w:t>договор на размещение нестационарного торгового объекта</w:t>
      </w:r>
      <w:r w:rsidRPr="00B33F83">
        <w:t xml:space="preserve"> на землях</w:t>
      </w:r>
      <w:r w:rsidR="001272A8">
        <w:t xml:space="preserve">               </w:t>
      </w:r>
      <w:r w:rsidRPr="00B33F83">
        <w:t xml:space="preserve"> и земельных участках,</w:t>
      </w:r>
      <w:r w:rsidRPr="00B33F83">
        <w:rPr>
          <w:lang w:eastAsia="ar-SA"/>
        </w:rPr>
        <w:t xml:space="preserve"> находящихся в государственной или муниципальной собственности;</w:t>
      </w:r>
    </w:p>
    <w:p w:rsidR="00B33F83" w:rsidRPr="00B33F83" w:rsidRDefault="00B33F83" w:rsidP="00B33F83">
      <w:pPr>
        <w:widowControl w:val="0"/>
        <w:tabs>
          <w:tab w:val="left" w:pos="0"/>
          <w:tab w:val="left" w:pos="10080"/>
        </w:tabs>
        <w:ind w:firstLine="709"/>
        <w:contextualSpacing/>
        <w:jc w:val="both"/>
        <w:rPr>
          <w:lang w:eastAsia="en-US"/>
        </w:rPr>
      </w:pPr>
      <w:r w:rsidRPr="00B33F83">
        <w:rPr>
          <w:lang w:eastAsia="en-US"/>
        </w:rPr>
        <w:t xml:space="preserve">5) проектная документация, содержащая сведения о территориальном размещении, внешнем виде, технических параметрах </w:t>
      </w:r>
      <w:r w:rsidRPr="00B33F83">
        <w:t>нестационарных сооружений, произведений монументально-декоративного</w:t>
      </w:r>
      <w:r w:rsidRPr="00B33F83">
        <w:rPr>
          <w:lang w:eastAsia="en-US"/>
        </w:rPr>
        <w:t xml:space="preserve"> искусства.</w:t>
      </w:r>
    </w:p>
    <w:p w:rsidR="00B33F83" w:rsidRPr="00B33F83" w:rsidRDefault="00B33F83" w:rsidP="00B33F83">
      <w:pPr>
        <w:autoSpaceDE w:val="0"/>
        <w:autoSpaceDN w:val="0"/>
        <w:adjustRightInd w:val="0"/>
        <w:ind w:firstLine="709"/>
        <w:jc w:val="both"/>
        <w:outlineLvl w:val="1"/>
        <w:rPr>
          <w:rFonts w:eastAsia="Calibri"/>
          <w:lang w:eastAsia="en-US"/>
        </w:rPr>
      </w:pPr>
      <w:r w:rsidRPr="00B33F83">
        <w:t xml:space="preserve">9. </w:t>
      </w:r>
      <w:r w:rsidRPr="00B33F83">
        <w:rPr>
          <w:rFonts w:eastAsia="Calibri"/>
          <w:lang w:eastAsia="en-US"/>
        </w:rPr>
        <w:t>Документы, указанные в подпункте 1, абзацах 2, 4 подпункта 4 пункта 8 Порядка,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B33F83" w:rsidRPr="00B33F83" w:rsidRDefault="00B33F83" w:rsidP="00B33F83">
      <w:pPr>
        <w:autoSpaceDE w:val="0"/>
        <w:autoSpaceDN w:val="0"/>
        <w:adjustRightInd w:val="0"/>
        <w:ind w:firstLine="709"/>
        <w:jc w:val="both"/>
        <w:outlineLvl w:val="1"/>
        <w:rPr>
          <w:rFonts w:eastAsia="Calibri"/>
          <w:lang w:eastAsia="en-US"/>
        </w:rPr>
      </w:pPr>
      <w:r w:rsidRPr="00B33F83">
        <w:rPr>
          <w:rFonts w:eastAsia="Calibri"/>
          <w:lang w:eastAsia="en-US"/>
        </w:rPr>
        <w:t>Документы, указанные в подпунктах 2, 3, 5, абзац</w:t>
      </w:r>
      <w:r w:rsidR="007F53C1">
        <w:rPr>
          <w:rFonts w:eastAsia="Calibri"/>
          <w:lang w:eastAsia="en-US"/>
        </w:rPr>
        <w:t>е</w:t>
      </w:r>
      <w:r w:rsidRPr="00B33F83">
        <w:rPr>
          <w:rFonts w:eastAsia="Calibri"/>
          <w:lang w:eastAsia="en-US"/>
        </w:rPr>
        <w:t xml:space="preserve"> 3 подпункта 4 пункта 8 Порядка, представляются заявителем самостоятельно.</w:t>
      </w:r>
    </w:p>
    <w:p w:rsidR="00B33F83" w:rsidRPr="00B33F83" w:rsidRDefault="00B33F83" w:rsidP="00B33F83">
      <w:pPr>
        <w:autoSpaceDE w:val="0"/>
        <w:autoSpaceDN w:val="0"/>
        <w:adjustRightInd w:val="0"/>
        <w:ind w:firstLine="709"/>
        <w:jc w:val="both"/>
        <w:rPr>
          <w:rFonts w:eastAsia="Calibri"/>
          <w:lang w:eastAsia="en-US"/>
        </w:rPr>
      </w:pPr>
      <w:r w:rsidRPr="00B33F83">
        <w:rPr>
          <w:rFonts w:eastAsia="Calibri"/>
          <w:lang w:eastAsia="en-US"/>
        </w:rPr>
        <w:t xml:space="preserve">10. </w:t>
      </w:r>
      <w:r w:rsidRPr="00B33F83">
        <w:t>Проектная документация, подготовленная</w:t>
      </w:r>
      <w:r w:rsidRPr="00B33F83">
        <w:rPr>
          <w:rFonts w:eastAsia="Calibri"/>
        </w:rPr>
        <w:t xml:space="preserve"> в установленном порядке,</w:t>
      </w:r>
      <w:r w:rsidRPr="00B33F83">
        <w:t xml:space="preserve"> подлежит согласованию </w:t>
      </w:r>
      <w:r w:rsidRPr="00B33F83">
        <w:rPr>
          <w:rFonts w:eastAsia="Calibri"/>
          <w:lang w:eastAsia="en-US"/>
        </w:rPr>
        <w:t>с уполномоченным органом.</w:t>
      </w:r>
    </w:p>
    <w:p w:rsidR="00B33F83" w:rsidRPr="00B33F83" w:rsidRDefault="00B33F83" w:rsidP="00B33F83">
      <w:pPr>
        <w:autoSpaceDE w:val="0"/>
        <w:autoSpaceDN w:val="0"/>
        <w:adjustRightInd w:val="0"/>
        <w:ind w:firstLine="709"/>
        <w:jc w:val="both"/>
        <w:rPr>
          <w:rFonts w:eastAsia="Calibri"/>
          <w:lang w:eastAsia="en-US"/>
        </w:rPr>
      </w:pPr>
      <w:r w:rsidRPr="00B33F83">
        <w:rPr>
          <w:rFonts w:eastAsia="Calibri"/>
          <w:lang w:eastAsia="en-US"/>
        </w:rPr>
        <w:t xml:space="preserve">Уполномоченный орган осуществляет согласование, необходимое для принятия решения о выдаче разрешения на установку </w:t>
      </w:r>
      <w:r w:rsidRPr="00B33F83">
        <w:t xml:space="preserve">некапитальных нестационарных сооружений, произведений монументально-декоративного искусства </w:t>
      </w:r>
      <w:r w:rsidRPr="00B33F83">
        <w:rPr>
          <w:rFonts w:eastAsia="Calibri"/>
          <w:lang w:eastAsia="en-US"/>
        </w:rPr>
        <w:t xml:space="preserve">или об отказе в его выдаче. </w:t>
      </w:r>
    </w:p>
    <w:p w:rsidR="00B33F83" w:rsidRPr="00B33F83" w:rsidRDefault="00B33F83" w:rsidP="00B33F83">
      <w:pPr>
        <w:ind w:firstLine="709"/>
        <w:jc w:val="both"/>
      </w:pPr>
      <w:r w:rsidRPr="00B33F83">
        <w:t>11. На основании обращения заявителя управление архитектуры</w:t>
      </w:r>
      <w:r w:rsidR="001272A8">
        <w:t xml:space="preserve">                          </w:t>
      </w:r>
      <w:r w:rsidRPr="00B33F83">
        <w:t xml:space="preserve"> и градостроительства администрации района рассматривает предоставленные материалы, после чего подготавливает разрешение на установку некапитального нестационарного сооружения, произведения монументально-декоративного искусства либо мотивированный отказ.</w:t>
      </w:r>
    </w:p>
    <w:p w:rsidR="00B33F83" w:rsidRPr="00B33F83" w:rsidRDefault="00B33F83" w:rsidP="00B33F83">
      <w:pPr>
        <w:ind w:firstLine="709"/>
        <w:jc w:val="both"/>
      </w:pPr>
      <w:r w:rsidRPr="00B33F83">
        <w:t>12. Заявителю может быть отказано в выдаче разрешения на установку некапитального нестационарного сооружения, произведения монументально-декоративного искусства в случае отсутствия документов, установленных пунктом 8 Порядка, несоответствия представленного проекта</w:t>
      </w:r>
      <w:r w:rsidRPr="00B33F83">
        <w:rPr>
          <w:rFonts w:ascii="Calibri" w:eastAsia="Calibri" w:hAnsi="Calibri"/>
          <w:lang w:eastAsia="en-US"/>
        </w:rPr>
        <w:t xml:space="preserve"> </w:t>
      </w:r>
      <w:r w:rsidRPr="00B33F83">
        <w:rPr>
          <w:rFonts w:eastAsia="Calibri"/>
          <w:lang w:eastAsia="en-US"/>
        </w:rPr>
        <w:t xml:space="preserve">требованиям технического регламента, нарушения внешнего архитектурного облика сложившейся застройки, нарушения требований нормативных актов </w:t>
      </w:r>
      <w:r w:rsidR="001272A8">
        <w:rPr>
          <w:rFonts w:eastAsia="Calibri"/>
          <w:lang w:eastAsia="en-US"/>
        </w:rPr>
        <w:t xml:space="preserve">                           </w:t>
      </w:r>
      <w:r w:rsidRPr="00B33F83">
        <w:rPr>
          <w:rFonts w:eastAsia="Calibri"/>
          <w:lang w:eastAsia="en-US"/>
        </w:rPr>
        <w:t>по безопасности движения транспорта.</w:t>
      </w:r>
    </w:p>
    <w:p w:rsidR="00B33F83" w:rsidRPr="00B33F83" w:rsidRDefault="00B33F83" w:rsidP="00B33F83">
      <w:pPr>
        <w:ind w:firstLine="709"/>
        <w:jc w:val="both"/>
      </w:pPr>
      <w:r w:rsidRPr="00B33F83">
        <w:t>13. Разрешение на установку некапитального нестационарного сооружения, произведения монументально-декоративного искусства</w:t>
      </w:r>
      <w:r w:rsidRPr="00B33F83">
        <w:rPr>
          <w:b/>
          <w:color w:val="FF0000"/>
          <w:sz w:val="32"/>
          <w:szCs w:val="32"/>
        </w:rPr>
        <w:t xml:space="preserve"> </w:t>
      </w:r>
      <w:r w:rsidRPr="00B33F83">
        <w:t xml:space="preserve">выдается на срок, указанный в заявлении, но не более установленного документами, указанными в </w:t>
      </w:r>
      <w:r w:rsidRPr="00B33F83">
        <w:rPr>
          <w:rFonts w:eastAsia="Calibri"/>
          <w:lang w:eastAsia="en-US"/>
        </w:rPr>
        <w:t xml:space="preserve">абзацах 3, 4 подпункта 4 </w:t>
      </w:r>
      <w:r w:rsidRPr="00B33F83">
        <w:t>пункта 8 Порядка.</w:t>
      </w:r>
      <w:r w:rsidRPr="00B33F83">
        <w:rPr>
          <w:rFonts w:eastAsia="Calibri"/>
          <w:lang w:eastAsia="en-US"/>
        </w:rPr>
        <w:t xml:space="preserve"> </w:t>
      </w:r>
    </w:p>
    <w:p w:rsidR="00B33F83" w:rsidRPr="00B33F83" w:rsidRDefault="00B33F83" w:rsidP="00B33F83">
      <w:pPr>
        <w:ind w:firstLine="709"/>
        <w:jc w:val="both"/>
      </w:pPr>
      <w:r w:rsidRPr="00B33F83">
        <w:t xml:space="preserve">14. По окончании срока установки временного </w:t>
      </w:r>
      <w:r w:rsidRPr="00B33F83">
        <w:rPr>
          <w:bCs/>
          <w:kern w:val="36"/>
        </w:rPr>
        <w:t>некапитального нестационарного сооружения</w:t>
      </w:r>
      <w:r w:rsidRPr="00B33F83">
        <w:t xml:space="preserve">, произведения монументально-декоративного искусства, оно демонтируется, территория на месте установки приводится </w:t>
      </w:r>
      <w:r w:rsidR="001272A8">
        <w:t xml:space="preserve">                    </w:t>
      </w:r>
      <w:r w:rsidRPr="00B33F83">
        <w:t xml:space="preserve">в порядок. </w:t>
      </w:r>
    </w:p>
    <w:p w:rsidR="00B33F83" w:rsidRPr="00B33F83" w:rsidRDefault="00B33F83" w:rsidP="00B33F83">
      <w:pPr>
        <w:ind w:firstLine="709"/>
        <w:jc w:val="both"/>
      </w:pPr>
      <w:r w:rsidRPr="00B33F83">
        <w:t xml:space="preserve">15. Сроки и последовательность административных процедур </w:t>
      </w:r>
      <w:r w:rsidR="001272A8">
        <w:t xml:space="preserve">                                </w:t>
      </w:r>
      <w:r w:rsidRPr="00B33F83">
        <w:t>и административных действий уполномоченного органа местного самоуправления, предоставляющего муниципальную услугу по выдаче разрешения на установку некапитального нестационарного сооружения, произведения монументально-декоративного искусства, ответственность сторон</w:t>
      </w:r>
      <w:r w:rsidRPr="00B33F83">
        <w:rPr>
          <w:b/>
        </w:rPr>
        <w:t xml:space="preserve"> </w:t>
      </w:r>
      <w:r w:rsidRPr="00B33F83">
        <w:t>определяется административным регламентом.</w:t>
      </w:r>
    </w:p>
    <w:p w:rsidR="00B33F83" w:rsidRPr="00B33F83" w:rsidRDefault="00B33F83" w:rsidP="00B33F83">
      <w:pPr>
        <w:ind w:firstLine="709"/>
        <w:jc w:val="both"/>
        <w:rPr>
          <w:sz w:val="24"/>
          <w:szCs w:val="24"/>
        </w:rPr>
      </w:pPr>
    </w:p>
    <w:p w:rsidR="00352F59" w:rsidRDefault="00352F59" w:rsidP="00B33F83">
      <w:pPr>
        <w:keepNext/>
        <w:tabs>
          <w:tab w:val="left" w:pos="851"/>
        </w:tabs>
        <w:ind w:firstLine="709"/>
        <w:jc w:val="both"/>
        <w:outlineLvl w:val="0"/>
        <w:rPr>
          <w:bCs/>
        </w:rPr>
      </w:pPr>
    </w:p>
    <w:sectPr w:rsidR="00352F59" w:rsidSect="00B33F83">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34" w:rsidRDefault="00ED7534">
      <w:r>
        <w:separator/>
      </w:r>
    </w:p>
  </w:endnote>
  <w:endnote w:type="continuationSeparator" w:id="0">
    <w:p w:rsidR="00ED7534" w:rsidRDefault="00ED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34" w:rsidRDefault="00ED7534">
      <w:r>
        <w:separator/>
      </w:r>
    </w:p>
  </w:footnote>
  <w:footnote w:type="continuationSeparator" w:id="0">
    <w:p w:rsidR="00ED7534" w:rsidRDefault="00ED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2435"/>
      <w:docPartObj>
        <w:docPartGallery w:val="Page Numbers (Top of Page)"/>
        <w:docPartUnique/>
      </w:docPartObj>
    </w:sdtPr>
    <w:sdtEndPr/>
    <w:sdtContent>
      <w:p w:rsidR="00ED7534" w:rsidRDefault="00ED7534">
        <w:pPr>
          <w:pStyle w:val="a4"/>
          <w:jc w:val="center"/>
        </w:pPr>
        <w:r>
          <w:fldChar w:fldCharType="begin"/>
        </w:r>
        <w:r>
          <w:instrText>PAGE   \* MERGEFORMAT</w:instrText>
        </w:r>
        <w:r>
          <w:fldChar w:fldCharType="separate"/>
        </w:r>
        <w:r w:rsidR="00DB37E3">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9"/>
  </w:num>
  <w:num w:numId="5">
    <w:abstractNumId w:val="22"/>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0"/>
  </w:num>
  <w:num w:numId="13">
    <w:abstractNumId w:val="18"/>
  </w:num>
  <w:num w:numId="14">
    <w:abstractNumId w:val="17"/>
  </w:num>
  <w:num w:numId="15">
    <w:abstractNumId w:val="0"/>
  </w:num>
  <w:num w:numId="16">
    <w:abstractNumId w:val="11"/>
  </w:num>
  <w:num w:numId="17">
    <w:abstractNumId w:val="16"/>
  </w:num>
  <w:num w:numId="18">
    <w:abstractNumId w:val="21"/>
  </w:num>
  <w:num w:numId="19">
    <w:abstractNumId w:val="2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627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72A8"/>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2F59"/>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09FF"/>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53C1"/>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69FC"/>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BC5"/>
    <w:rsid w:val="009A0EE9"/>
    <w:rsid w:val="009A13C1"/>
    <w:rsid w:val="009A3300"/>
    <w:rsid w:val="009A4F8F"/>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38F7"/>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3F83"/>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37E3"/>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975"/>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D7534"/>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29C"/>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7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B33F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B33F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27277851">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8296-C121-48A6-A3B5-31CC63DA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863</Words>
  <Characters>7854</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Черкашина Жанна Александровна</cp:lastModifiedBy>
  <cp:revision>11</cp:revision>
  <cp:lastPrinted>2017-10-04T06:18:00Z</cp:lastPrinted>
  <dcterms:created xsi:type="dcterms:W3CDTF">2017-10-04T06:05:00Z</dcterms:created>
  <dcterms:modified xsi:type="dcterms:W3CDTF">2017-10-05T09:00:00Z</dcterms:modified>
</cp:coreProperties>
</file>